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Titreprincipal"/>
        <w:jc w:val="left"/>
        <w:rPr>
          <w:rFonts w:ascii="Arial" w:hAnsi="Arial" w:cs="Arial"/>
          <w:color w:val="000000"/>
          <w:sz w:val="22"/>
          <w:szCs w:val="22"/>
          <w:u w:val="none"/>
        </w:rPr>
      </w:pPr>
      <w:r>
        <w:rPr>
          <w:rFonts w:ascii="Arial" w:hAnsi="Arial" w:cs="Arial"/>
          <w:noProof/>
          <w:color w:val="000000"/>
          <w:sz w:val="22"/>
          <w:szCs w:val="22"/>
          <w:u w:val="none"/>
        </w:rPr>
        <w:drawing>
          <wp:inline distT="0" distB="0" distL="0" distR="0">
            <wp:extent cx="1274445" cy="1115695"/>
            <wp:effectExtent l="0" t="0" r="1905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1"/>
        <w:spacing w:after="0"/>
        <w:jc w:val="center"/>
        <w:rPr>
          <w:rFonts w:ascii="Marianne" w:hAnsi="Marianne" w:cs="Arial"/>
          <w:b/>
          <w:color w:val="000000"/>
          <w:sz w:val="20"/>
          <w:szCs w:val="20"/>
        </w:rPr>
      </w:pPr>
    </w:p>
    <w:p>
      <w:pPr>
        <w:tabs>
          <w:tab w:val="left" w:pos="851"/>
        </w:tabs>
        <w:spacing w:before="60" w:after="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Secrétariat</w:t>
      </w:r>
    </w:p>
    <w:p>
      <w:pPr>
        <w:tabs>
          <w:tab w:val="left" w:pos="851"/>
        </w:tabs>
        <w:spacing w:before="60" w:after="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Général</w:t>
      </w:r>
    </w:p>
    <w:p>
      <w:pPr>
        <w:spacing w:after="120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Service des Ressources Humaines (SRH)</w:t>
      </w:r>
    </w:p>
    <w:p>
      <w:pPr>
        <w:spacing w:after="120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Sous-Direction des Politiques Sociales et des Conditions de Travail (SRH3)</w:t>
      </w:r>
    </w:p>
    <w:p>
      <w:pPr>
        <w:suppressAutoHyphens w:val="0"/>
        <w:spacing w:after="120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Bureau des Ressources Internes (SRH3C)</w:t>
      </w:r>
    </w:p>
    <w:p>
      <w:pPr>
        <w:suppressAutoHyphens w:val="0"/>
        <w:spacing w:after="120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Secteur Cadre de Vie Professionnel.</w:t>
      </w:r>
    </w:p>
    <w:p>
      <w:pPr>
        <w:suppressAutoHyphens w:val="0"/>
        <w:spacing w:after="120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5 Place des vins de France – 75012 Paris</w:t>
      </w:r>
    </w:p>
    <w:p>
      <w:pPr>
        <w:pStyle w:val="Normal1"/>
        <w:spacing w:after="0"/>
        <w:rPr>
          <w:rFonts w:ascii="Marianne" w:hAnsi="Marianne"/>
          <w:color w:val="000000"/>
          <w:spacing w:val="80"/>
          <w:sz w:val="20"/>
          <w:szCs w:val="20"/>
        </w:rPr>
      </w:pPr>
    </w:p>
    <w:p>
      <w:pPr>
        <w:pStyle w:val="Normal1"/>
        <w:spacing w:after="0"/>
        <w:rPr>
          <w:rFonts w:ascii="Marianne" w:hAnsi="Marianne"/>
          <w:color w:val="000000"/>
          <w:spacing w:val="80"/>
          <w:sz w:val="20"/>
          <w:szCs w:val="20"/>
        </w:rPr>
      </w:pPr>
    </w:p>
    <w:tbl>
      <w:tblPr>
        <w:tblW w:w="9615" w:type="dxa"/>
        <w:tblInd w:w="4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F2F2F2" w:themeFill="background1" w:themeFillShade="F2"/>
        <w:tblCellMar>
          <w:left w:w="25" w:type="dxa"/>
          <w:right w:w="70" w:type="dxa"/>
        </w:tblCellMar>
        <w:tblLook w:val="04A0" w:firstRow="1" w:lastRow="0" w:firstColumn="1" w:lastColumn="0" w:noHBand="0" w:noVBand="1"/>
      </w:tblPr>
      <w:tblGrid>
        <w:gridCol w:w="9615"/>
      </w:tblGrid>
      <w:tr>
        <w:tc>
          <w:tcPr>
            <w:tcW w:w="96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25" w:type="dxa"/>
            </w:tcMar>
          </w:tcPr>
          <w:p>
            <w:pPr>
              <w:ind w:right="113"/>
              <w:jc w:val="center"/>
              <w:rPr>
                <w:rFonts w:ascii="Marianne" w:eastAsia="Times New Roman" w:hAnsi="Marianne" w:cs="Times New Roman"/>
                <w:bCs/>
                <w:color w:val="000000"/>
                <w:spacing w:val="4"/>
                <w:sz w:val="20"/>
                <w:szCs w:val="20"/>
                <w:lang w:bidi="ar-SA"/>
              </w:rPr>
            </w:pPr>
          </w:p>
          <w:p>
            <w:pPr>
              <w:spacing w:after="240"/>
              <w:ind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lang w:bidi="ar-SA"/>
              </w:rPr>
              <w:t>MARCHÉ RELATIF à l’achat de matériels de restauration collective</w:t>
            </w:r>
          </w:p>
          <w:p>
            <w:pPr>
              <w:pStyle w:val="Normal1"/>
              <w:spacing w:before="240" w:after="240"/>
              <w:ind w:left="113" w:right="113"/>
              <w:jc w:val="center"/>
              <w:rPr>
                <w:bCs/>
                <w:color w:val="000000"/>
                <w:spacing w:val="4"/>
              </w:rPr>
            </w:pPr>
            <w:proofErr w:type="gramStart"/>
            <w:r>
              <w:rPr>
                <w:bCs/>
                <w:color w:val="000000"/>
                <w:spacing w:val="4"/>
              </w:rPr>
              <w:t>pour</w:t>
            </w:r>
            <w:proofErr w:type="gramEnd"/>
            <w:r>
              <w:rPr>
                <w:bCs/>
                <w:color w:val="000000"/>
                <w:spacing w:val="4"/>
              </w:rPr>
              <w:t xml:space="preserve"> le restaurant administratif de l’</w:t>
            </w:r>
            <w:r>
              <w:rPr>
                <w:b/>
                <w:color w:val="000000"/>
                <w:spacing w:val="4"/>
              </w:rPr>
              <w:t>ASFR VINCENNES</w:t>
            </w:r>
          </w:p>
          <w:p>
            <w:pPr>
              <w:pStyle w:val="Normal1"/>
              <w:spacing w:before="240" w:after="0" w:line="360" w:lineRule="auto"/>
              <w:ind w:left="113" w:right="113"/>
              <w:jc w:val="center"/>
              <w:rPr>
                <w:b/>
                <w:bCs/>
                <w:color w:val="000000"/>
                <w:spacing w:val="4"/>
              </w:rPr>
            </w:pPr>
            <w:r>
              <w:rPr>
                <w:b/>
                <w:bCs/>
                <w:color w:val="000000"/>
                <w:spacing w:val="4"/>
              </w:rPr>
              <w:t>CADRE DE DECOMPOSITION DU PRIX FORFAITAIRE (CDPF)</w:t>
            </w:r>
          </w:p>
          <w:p>
            <w:pPr>
              <w:pStyle w:val="Normal1"/>
              <w:spacing w:before="0" w:after="0" w:line="360" w:lineRule="auto"/>
              <w:ind w:left="113" w:right="113"/>
              <w:jc w:val="center"/>
              <w:rPr>
                <w:rFonts w:ascii="Marianne" w:hAnsi="Marianne"/>
                <w:b/>
                <w:bCs/>
                <w:color w:val="000000"/>
                <w:spacing w:val="4"/>
                <w:sz w:val="20"/>
                <w:szCs w:val="20"/>
              </w:rPr>
            </w:pPr>
          </w:p>
        </w:tc>
      </w:tr>
    </w:tbl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rPr>
          <w:b/>
          <w:bCs/>
        </w:rPr>
      </w:pPr>
      <w:r>
        <w:t>Numéro de consultation </w:t>
      </w:r>
      <w:r>
        <w:tab/>
      </w:r>
      <w:r>
        <w:tab/>
      </w:r>
      <w:r>
        <w:tab/>
        <w:t xml:space="preserve">: </w:t>
      </w:r>
      <w:r>
        <w:rPr>
          <w:b/>
          <w:bCs/>
        </w:rPr>
        <w:t>SRH3C-2025-02-Matériels de restauration</w:t>
      </w:r>
    </w:p>
    <w:p>
      <w:pPr>
        <w:pStyle w:val="Normal1"/>
        <w:pBdr>
          <w:bottom w:val="single" w:sz="4" w:space="1" w:color="000001"/>
        </w:pBdr>
        <w:spacing w:after="0"/>
        <w:rPr>
          <w:b/>
          <w:bCs/>
        </w:rPr>
      </w:pPr>
      <w:r>
        <w:t>Procédure de passation </w:t>
      </w:r>
      <w:r>
        <w:tab/>
      </w:r>
      <w:r>
        <w:rPr>
          <w:b/>
          <w:bCs/>
        </w:rPr>
        <w:tab/>
      </w:r>
      <w:r>
        <w:rPr>
          <w:b/>
          <w:bCs/>
        </w:rPr>
        <w:tab/>
        <w:t>: Procédure adaptée</w:t>
      </w:r>
    </w:p>
    <w:p>
      <w:pPr>
        <w:pStyle w:val="Normal1"/>
        <w:pBdr>
          <w:bottom w:val="single" w:sz="4" w:space="1" w:color="000001"/>
        </w:pBdr>
        <w:spacing w:after="0"/>
      </w:pPr>
      <w:r>
        <w:rPr>
          <w:color w:val="auto"/>
        </w:rPr>
        <w:t>Date et heure limite de réception des plis </w:t>
      </w:r>
      <w:r>
        <w:rPr>
          <w:color w:val="auto"/>
        </w:rPr>
        <w:tab/>
        <w:t xml:space="preserve">: </w:t>
      </w:r>
      <w:r>
        <w:rPr>
          <w:b/>
          <w:bCs/>
          <w:color w:val="auto"/>
        </w:rPr>
        <w:t>25/08/2025 à 16h00</w:t>
      </w:r>
    </w:p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p>
      <w:pPr>
        <w:pStyle w:val="Normal1"/>
        <w:pBdr>
          <w:bottom w:val="single" w:sz="4" w:space="1" w:color="000001"/>
        </w:pBdr>
        <w:spacing w:after="0"/>
        <w:jc w:val="center"/>
        <w:rPr>
          <w:rFonts w:ascii="Marianne" w:hAnsi="Marianne"/>
          <w:color w:val="000000"/>
          <w:sz w:val="20"/>
          <w:szCs w:val="20"/>
        </w:rPr>
      </w:pPr>
    </w:p>
    <w:tbl>
      <w:tblPr>
        <w:tblW w:w="10349" w:type="dxa"/>
        <w:tblInd w:w="-2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6"/>
        <w:gridCol w:w="850"/>
        <w:gridCol w:w="851"/>
        <w:gridCol w:w="1559"/>
        <w:gridCol w:w="1843"/>
      </w:tblGrid>
      <w:tr>
        <w:trPr>
          <w:trHeight w:val="648"/>
        </w:trPr>
        <w:tc>
          <w:tcPr>
            <w:tcW w:w="52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00206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1"/>
              <w:spacing w:before="40" w:after="40"/>
              <w:ind w:left="113" w:right="113"/>
              <w:rPr>
                <w:b/>
                <w:color w:val="FFFFFF" w:themeColor="background1"/>
                <w:spacing w:val="4"/>
              </w:rPr>
            </w:pPr>
            <w:r>
              <w:rPr>
                <w:b/>
                <w:color w:val="FFFFFF" w:themeColor="background1"/>
                <w:spacing w:val="4"/>
              </w:rPr>
              <w:lastRenderedPageBreak/>
              <w:t>MATERIELS DE RESTAURATION COLECTIVE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365F91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N° Fiche Technique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548DD4" w:themeFill="text2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Quantité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Prix unitaire H.T. en €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Prix total</w:t>
            </w:r>
          </w:p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H.T. en €</w:t>
            </w:r>
          </w:p>
        </w:tc>
      </w:tr>
      <w:tr>
        <w:trPr>
          <w:trHeight w:val="255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sym w:font="Wingdings 2" w:char="F0A2"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Matériels neufs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(Cf. fiches techniques en annexe du CCAP)</w:t>
            </w:r>
          </w:p>
        </w:tc>
      </w:tr>
      <w:tr>
        <w:trPr>
          <w:trHeight w:val="510"/>
        </w:trPr>
        <w:tc>
          <w:tcPr>
            <w:tcW w:w="52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Meuble plateaux / couverts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Meuble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Salad’bar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réfrigéré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Meuble vitrines réfrigérées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Rampe à plateaux sur mesure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Navette froide mobile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Armoire froide positive à chariots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Meuble vitrine chaude + neutre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Vitrine chaude à poser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FT-8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Meuble micro-ondes sur mesure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eastAsia="Times New Roman" w:hAnsi="Times New Roman" w:cs="Times New Roman"/>
              </w:rPr>
              <w:t>FT-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255"/>
        </w:trPr>
        <w:tc>
          <w:tcPr>
            <w:tcW w:w="8506" w:type="dxa"/>
            <w:gridSpan w:val="4"/>
            <w:tcBorders>
              <w:left w:val="single" w:sz="2" w:space="0" w:color="000000"/>
              <w:bottom w:val="single" w:sz="4" w:space="0" w:color="auto"/>
            </w:tcBorders>
            <w:shd w:val="clear" w:color="auto" w:fill="00206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right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 xml:space="preserve">Matériels neufs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sym w:font="Wingdings" w:char="F0E0"/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 xml:space="preserve"> Sous-total (A) HT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sym w:font="Wingdings 3" w:char="F07D"/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sym w:font="Wingdings 2" w:char="F0A2"/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Matériels récupérés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</w:p>
        </w:tc>
      </w:tr>
      <w:tr>
        <w:trPr>
          <w:trHeight w:val="510"/>
        </w:trPr>
        <w:tc>
          <w:tcPr>
            <w:tcW w:w="524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Meuble caisse double flux à déplacer selon plan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FT-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255"/>
        </w:trPr>
        <w:tc>
          <w:tcPr>
            <w:tcW w:w="8506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00206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right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 xml:space="preserve">Matériels récupérés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sym w:font="Wingdings" w:char="F0E0"/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 xml:space="preserve"> Sous-total (B) HT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sym w:font="Wingdings 3" w:char="F07D"/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</w:p>
        </w:tc>
      </w:tr>
      <w:tr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sym w:font="Wingdings 2" w:char="F0A2"/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Frais complémentaires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</w:p>
        </w:tc>
      </w:tr>
      <w:tr>
        <w:trPr>
          <w:trHeight w:val="510"/>
        </w:trPr>
        <w:tc>
          <w:tcPr>
            <w:tcW w:w="8506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Livraison, installation, mise en service et formation à l’utilisation des matériels neufs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>
        <w:trPr>
          <w:trHeight w:val="510"/>
        </w:trPr>
        <w:tc>
          <w:tcPr>
            <w:tcW w:w="8506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Enlèvement du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salad’bar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adossée et valorisation en décharge DEEE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>
        <w:trPr>
          <w:trHeight w:val="255"/>
        </w:trPr>
        <w:tc>
          <w:tcPr>
            <w:tcW w:w="8506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00206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right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 xml:space="preserve">Frais complémentaires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sym w:font="Wingdings" w:char="F0E0"/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 xml:space="preserve"> Sous-total (C) HT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sym w:font="Wingdings 3" w:char="F07D"/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>
        <w:trPr>
          <w:trHeight w:val="567"/>
        </w:trPr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340"/>
        </w:trPr>
        <w:tc>
          <w:tcPr>
            <w:tcW w:w="85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TOTAL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>(A+B+C) HT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sym w:font="Wingdings 3" w:char="F07D"/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>
        <w:trPr>
          <w:trHeight w:val="374"/>
        </w:trPr>
        <w:tc>
          <w:tcPr>
            <w:tcW w:w="8506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Montant de la TVA 20 %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sym w:font="Wingdings 3" w:char="F07D"/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>
        <w:trPr>
          <w:trHeight w:val="560"/>
        </w:trPr>
        <w:tc>
          <w:tcPr>
            <w:tcW w:w="85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TOTAL TTC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sym w:font="Wingdings 3" w:char="F07D"/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  <w:color w:val="000000"/>
          <w:lang w:bidi="ar-SA"/>
        </w:rPr>
      </w:pPr>
    </w:p>
    <w:sectPr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16"/>
        <w:szCs w:val="16"/>
      </w:rPr>
      <w:id w:val="-55790318"/>
      <w:docPartObj>
        <w:docPartGallery w:val="Page Numbers (Bottom of Page)"/>
        <w:docPartUnique/>
      </w:docPartObj>
    </w:sdtPr>
    <w:sdtContent>
      <w:sdt>
        <w:sdtPr>
          <w:rPr>
            <w:rFonts w:ascii="Marianne" w:hAnsi="Marianne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Page </w:t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instrText>PAGE</w:instrText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t>2</w:t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="Marianne" w:hAnsi="Marianne"/>
                <w:sz w:val="16"/>
                <w:szCs w:val="16"/>
              </w:rPr>
              <w:t xml:space="preserve"> sur </w:t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instrText>NUMPAGES</w:instrText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t>2</w:t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rPr>
          <w:color w:val="000000"/>
        </w:rP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1A7A64"/>
    <w:multiLevelType w:val="hybridMultilevel"/>
    <w:tmpl w:val="FFB09556"/>
    <w:lvl w:ilvl="0" w:tplc="3210F6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C6AB7-2AED-492D-9CC2-A9EC80DC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/>
      <w:spacing w:before="120" w:after="120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Titre">
    <w:name w:val="Title"/>
    <w:basedOn w:val="Normal1"/>
    <w:pPr>
      <w:jc w:val="center"/>
    </w:pPr>
    <w:rPr>
      <w:b/>
      <w:bCs/>
      <w:u w:val="single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/>
      <w:sz w:val="16"/>
      <w:szCs w:val="14"/>
    </w:rPr>
  </w:style>
  <w:style w:type="paragraph" w:customStyle="1" w:styleId="Titreprincipal">
    <w:name w:val="Titre principal"/>
    <w:basedOn w:val="Normal1"/>
    <w:pPr>
      <w:autoSpaceDN/>
      <w:jc w:val="center"/>
    </w:pPr>
    <w:rPr>
      <w:b/>
      <w:bCs/>
      <w:kern w:val="0"/>
      <w:u w:val="single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6D5A8-2A0F-45EB-832D-D3B0BC3E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PEUCH Thierry</dc:creator>
  <cp:lastModifiedBy>PEUCH Thierry</cp:lastModifiedBy>
  <cp:revision>26</cp:revision>
  <cp:lastPrinted>2025-06-18T17:08:00Z</cp:lastPrinted>
  <dcterms:created xsi:type="dcterms:W3CDTF">2017-08-02T12:27:00Z</dcterms:created>
  <dcterms:modified xsi:type="dcterms:W3CDTF">2025-07-02T08:55:00Z</dcterms:modified>
</cp:coreProperties>
</file>